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[Supplier Guidance: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green"/>
          <w:u w:val="none"/>
          <w:vertAlign w:val="baseline"/>
          <w:rtl w:val="0"/>
        </w:rPr>
        <w:t xml:space="preserve">You must ensure that this annual certificate is completed when requested to do so by CCS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DPS Contract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RM6322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DPS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DPS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number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DPS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DPS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</w:t>
      </w:r>
    </w:p>
    <w:p w:rsidR="00000000" w:rsidDel="00000000" w:rsidP="00000000" w:rsidRDefault="00000000" w:rsidRPr="00000000" w14:paraId="0000000B">
      <w:pPr>
        <w:pageBreakBefore w:val="0"/>
        <w:spacing w:after="120" w:before="120" w:line="240" w:lineRule="auto"/>
        <w:ind w:left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DPS Contract.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for this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RM6322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ageBreakBefore w:val="0"/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